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F7641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1F7641" w:rsidP="0095774C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Aralık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2015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100A7E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Aralık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1F7641">
        <w:rPr>
          <w:rFonts w:ascii="Times New Roman" w:hAnsi="Times New Roman" w:cs="Times New Roman"/>
          <w:b/>
        </w:rPr>
        <w:t>25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 w:rsidR="001F7641">
        <w:rPr>
          <w:rFonts w:ascii="Times New Roman" w:hAnsi="Times New Roman" w:cs="Times New Roman"/>
          <w:b/>
        </w:rPr>
        <w:t>Aralık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1F7641">
        <w:rPr>
          <w:rFonts w:ascii="Times New Roman" w:hAnsi="Times New Roman" w:cs="Times New Roman"/>
        </w:rPr>
        <w:t>Kasım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1F7641">
        <w:rPr>
          <w:rFonts w:ascii="Times New Roman" w:hAnsi="Times New Roman" w:cs="Times New Roman"/>
        </w:rPr>
        <w:t>84,5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1F7641">
        <w:rPr>
          <w:rFonts w:ascii="Times New Roman" w:hAnsi="Times New Roman" w:cs="Times New Roman"/>
        </w:rPr>
        <w:t>Aralık</w:t>
      </w:r>
      <w:r w:rsidR="00B36193">
        <w:rPr>
          <w:rFonts w:ascii="Times New Roman" w:hAnsi="Times New Roman" w:cs="Times New Roman"/>
        </w:rPr>
        <w:t xml:space="preserve"> ayında </w:t>
      </w:r>
      <w:r w:rsidR="001F7641">
        <w:rPr>
          <w:rFonts w:ascii="Times New Roman" w:hAnsi="Times New Roman" w:cs="Times New Roman"/>
        </w:rPr>
        <w:t>0,6</w:t>
      </w:r>
      <w:r>
        <w:rPr>
          <w:rFonts w:ascii="Times New Roman" w:hAnsi="Times New Roman" w:cs="Times New Roman"/>
        </w:rPr>
        <w:t xml:space="preserve"> puan </w:t>
      </w:r>
      <w:r w:rsidR="00B36193">
        <w:rPr>
          <w:rFonts w:ascii="Times New Roman" w:hAnsi="Times New Roman" w:cs="Times New Roman"/>
        </w:rPr>
        <w:t>artarak</w:t>
      </w:r>
      <w:r w:rsidR="008C3A4E">
        <w:rPr>
          <w:rFonts w:ascii="Times New Roman" w:hAnsi="Times New Roman" w:cs="Times New Roman"/>
        </w:rPr>
        <w:t xml:space="preserve"> 8</w:t>
      </w:r>
      <w:r w:rsidR="001F7641">
        <w:rPr>
          <w:rFonts w:ascii="Times New Roman" w:hAnsi="Times New Roman" w:cs="Times New Roman"/>
        </w:rPr>
        <w:t>5,1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B36193">
        <w:rPr>
          <w:rFonts w:ascii="Times New Roman" w:hAnsi="Times New Roman" w:cs="Times New Roman"/>
        </w:rPr>
        <w:t>yükselmiştir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1F7641">
        <w:rPr>
          <w:rFonts w:ascii="Times New Roman" w:hAnsi="Times New Roman" w:cs="Times New Roman"/>
        </w:rPr>
        <w:t>ılın aynı dönemine göre ise 82,7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B36193">
        <w:rPr>
          <w:rFonts w:ascii="Times New Roman" w:hAnsi="Times New Roman" w:cs="Times New Roman"/>
        </w:rPr>
        <w:t>inşaat sektörü güven endeksi 2</w:t>
      </w:r>
      <w:r w:rsidR="001F7641">
        <w:rPr>
          <w:rFonts w:ascii="Times New Roman" w:hAnsi="Times New Roman" w:cs="Times New Roman"/>
        </w:rPr>
        <w:t>,4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B36193">
        <w:rPr>
          <w:rFonts w:ascii="Times New Roman" w:hAnsi="Times New Roman" w:cs="Times New Roman"/>
        </w:rPr>
        <w:t>çıkarak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1F7641">
        <w:rPr>
          <w:rFonts w:ascii="Times New Roman" w:hAnsi="Times New Roman" w:cs="Times New Roman"/>
        </w:rPr>
        <w:t>zde 3</w:t>
      </w:r>
      <w:r w:rsidR="003E7ABA" w:rsidRPr="00472839">
        <w:rPr>
          <w:rFonts w:ascii="Times New Roman" w:hAnsi="Times New Roman" w:cs="Times New Roman"/>
        </w:rPr>
        <w:t xml:space="preserve"> 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</w:rPr>
        <w:t>5</w:t>
      </w:r>
      <w:r w:rsidRPr="002B5EAF">
        <w:rPr>
          <w:rFonts w:ascii="Times New Roman" w:hAnsi="Times New Roman" w:cs="Times New Roman"/>
        </w:rPr>
        <w:t xml:space="preserve"> yılı </w:t>
      </w:r>
      <w:r w:rsidR="007A35B5">
        <w:rPr>
          <w:rFonts w:ascii="Times New Roman" w:hAnsi="Times New Roman" w:cs="Times New Roman"/>
        </w:rPr>
        <w:t>Aralık ayında bir önceki aya göre 2,1</w:t>
      </w:r>
      <w:r w:rsidRPr="002B5EAF">
        <w:rPr>
          <w:rFonts w:ascii="Times New Roman" w:hAnsi="Times New Roman" w:cs="Times New Roman"/>
        </w:rPr>
        <w:t xml:space="preserve"> puan </w:t>
      </w:r>
      <w:r w:rsidR="007A35B5">
        <w:rPr>
          <w:rFonts w:ascii="Times New Roman" w:hAnsi="Times New Roman" w:cs="Times New Roman"/>
        </w:rPr>
        <w:t>azalarak 76,1</w:t>
      </w:r>
      <w:r w:rsidRPr="002B5EAF">
        <w:rPr>
          <w:rFonts w:ascii="Times New Roman" w:hAnsi="Times New Roman" w:cs="Times New Roman"/>
        </w:rPr>
        <w:t xml:space="preserve"> puana </w:t>
      </w:r>
      <w:r w:rsidR="007A35B5">
        <w:rPr>
          <w:rFonts w:ascii="Times New Roman" w:hAnsi="Times New Roman" w:cs="Times New Roman"/>
        </w:rPr>
        <w:t>düşmüştür</w:t>
      </w:r>
      <w:r w:rsidRPr="002B5EAF">
        <w:rPr>
          <w:rFonts w:ascii="Times New Roman" w:hAnsi="Times New Roman" w:cs="Times New Roman"/>
        </w:rPr>
        <w:t>. 201</w:t>
      </w:r>
      <w:r w:rsidR="00A270E3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</w:t>
      </w:r>
      <w:r w:rsidR="007A35B5">
        <w:rPr>
          <w:rFonts w:ascii="Times New Roman" w:hAnsi="Times New Roman" w:cs="Times New Roman"/>
        </w:rPr>
        <w:t>Aralık</w:t>
      </w:r>
      <w:r w:rsidRPr="002B5EAF">
        <w:rPr>
          <w:rFonts w:ascii="Times New Roman" w:hAnsi="Times New Roman" w:cs="Times New Roman"/>
        </w:rPr>
        <w:t xml:space="preserve"> ayı verilerine göre incelendiğinde ise, yüzde </w:t>
      </w:r>
      <w:r w:rsidR="00304DB6">
        <w:rPr>
          <w:rFonts w:ascii="Times New Roman" w:eastAsia="Times New Roman" w:hAnsi="Times New Roman" w:cs="Times New Roman"/>
          <w:color w:val="000000"/>
        </w:rPr>
        <w:t>3</w:t>
      </w:r>
      <w:r w:rsidR="007A35B5">
        <w:rPr>
          <w:rFonts w:ascii="Times New Roman" w:eastAsia="Times New Roman" w:hAnsi="Times New Roman" w:cs="Times New Roman"/>
          <w:color w:val="000000"/>
        </w:rPr>
        <w:t>,6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B36193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7A35B5">
        <w:rPr>
          <w:rFonts w:ascii="Times New Roman" w:hAnsi="Times New Roman" w:cs="Times New Roman"/>
          <w:sz w:val="22"/>
          <w:szCs w:val="22"/>
        </w:rPr>
        <w:t>Aralık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7A35B5">
        <w:rPr>
          <w:rFonts w:ascii="Times New Roman" w:hAnsi="Times New Roman" w:cs="Times New Roman"/>
          <w:sz w:val="22"/>
          <w:szCs w:val="22"/>
        </w:rPr>
        <w:t>Aralık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7A35B5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6615851C" wp14:editId="42B76D3A">
            <wp:extent cx="5932627" cy="2743200"/>
            <wp:effectExtent l="0" t="0" r="11430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D97589">
        <w:rPr>
          <w:rFonts w:ascii="Times New Roman" w:hAnsi="Times New Roman" w:cs="Times New Roman"/>
        </w:rPr>
        <w:t>Kasım 2015’te 64,7</w:t>
      </w:r>
      <w:r>
        <w:rPr>
          <w:rFonts w:ascii="Times New Roman" w:hAnsi="Times New Roman" w:cs="Times New Roman"/>
        </w:rPr>
        <w:t xml:space="preserve"> puan olan alınan</w:t>
      </w:r>
      <w:r w:rsidR="00D97589">
        <w:rPr>
          <w:rFonts w:ascii="Times New Roman" w:hAnsi="Times New Roman" w:cs="Times New Roman"/>
        </w:rPr>
        <w:t xml:space="preserve"> kayıtlı</w:t>
      </w:r>
      <w:r w:rsidR="00B05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siparişlerin mevcut düzeyinin, </w:t>
      </w:r>
      <w:r w:rsidR="00D97589">
        <w:rPr>
          <w:rFonts w:ascii="Times New Roman" w:hAnsi="Times New Roman" w:cs="Times New Roman"/>
        </w:rPr>
        <w:t>Aralık</w:t>
      </w:r>
      <w:r w:rsidR="00B36193">
        <w:rPr>
          <w:rFonts w:ascii="Times New Roman" w:hAnsi="Times New Roman" w:cs="Times New Roman"/>
        </w:rPr>
        <w:t xml:space="preserve"> 2015’te </w:t>
      </w:r>
      <w:r w:rsidR="00D97589">
        <w:rPr>
          <w:rFonts w:ascii="Times New Roman" w:hAnsi="Times New Roman" w:cs="Times New Roman"/>
        </w:rPr>
        <w:t>değişmediği</w:t>
      </w:r>
      <w:r w:rsidR="00B36193">
        <w:rPr>
          <w:rFonts w:ascii="Times New Roman" w:hAnsi="Times New Roman" w:cs="Times New Roman"/>
        </w:rPr>
        <w:t xml:space="preserve"> ve 64,7</w:t>
      </w:r>
      <w:r>
        <w:rPr>
          <w:rFonts w:ascii="Times New Roman" w:hAnsi="Times New Roman" w:cs="Times New Roman"/>
        </w:rPr>
        <w:t xml:space="preserve"> </w:t>
      </w:r>
      <w:r w:rsidR="00D97589">
        <w:rPr>
          <w:rFonts w:ascii="Times New Roman" w:hAnsi="Times New Roman" w:cs="Times New Roman"/>
        </w:rPr>
        <w:t>puan seviyesinde kaldığı görülmektedir</w:t>
      </w:r>
      <w:r>
        <w:rPr>
          <w:rFonts w:ascii="Times New Roman" w:hAnsi="Times New Roman" w:cs="Times New Roman"/>
        </w:rPr>
        <w:t xml:space="preserve"> (Tablo 1). Gelecek 3 aylık dönem için toplam çalışan sayısı beklentisi ise, </w:t>
      </w:r>
      <w:r w:rsidR="00D97589">
        <w:rPr>
          <w:rFonts w:ascii="Times New Roman" w:hAnsi="Times New Roman" w:cs="Times New Roman"/>
        </w:rPr>
        <w:t>Kasım 2015’te 104,4</w:t>
      </w:r>
      <w:r>
        <w:rPr>
          <w:rFonts w:ascii="Times New Roman" w:hAnsi="Times New Roman" w:cs="Times New Roman"/>
        </w:rPr>
        <w:t xml:space="preserve"> puan iken, </w:t>
      </w:r>
      <w:r w:rsidR="00D97589">
        <w:rPr>
          <w:rFonts w:ascii="Times New Roman" w:hAnsi="Times New Roman" w:cs="Times New Roman"/>
        </w:rPr>
        <w:t>Aralık</w:t>
      </w:r>
      <w:r w:rsidR="006178F0">
        <w:rPr>
          <w:rFonts w:ascii="Times New Roman" w:hAnsi="Times New Roman" w:cs="Times New Roman"/>
        </w:rPr>
        <w:t xml:space="preserve"> 2015’te yüzde </w:t>
      </w:r>
      <w:r w:rsidR="00D97589">
        <w:rPr>
          <w:rFonts w:ascii="Times New Roman" w:hAnsi="Times New Roman" w:cs="Times New Roman"/>
        </w:rPr>
        <w:t>1</w:t>
      </w:r>
      <w:r w:rsidR="007C40D1">
        <w:rPr>
          <w:rFonts w:ascii="Times New Roman" w:hAnsi="Times New Roman" w:cs="Times New Roman"/>
        </w:rPr>
        <w:t>,</w:t>
      </w:r>
      <w:r w:rsidR="00D9758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oranında </w:t>
      </w:r>
      <w:r w:rsidR="00D97589">
        <w:rPr>
          <w:rFonts w:ascii="Times New Roman" w:hAnsi="Times New Roman" w:cs="Times New Roman"/>
        </w:rPr>
        <w:t>artarak 105,5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A5652B">
        <w:fldChar w:fldCharType="begin"/>
      </w:r>
      <w:r w:rsidR="00A5652B">
        <w:instrText xml:space="preserve"> SEQ Tablo \* ARABIC </w:instrText>
      </w:r>
      <w:r w:rsidR="00A5652B">
        <w:fldChar w:fldCharType="separate"/>
      </w:r>
      <w:r>
        <w:rPr>
          <w:noProof/>
        </w:rPr>
        <w:t>1</w:t>
      </w:r>
      <w:r w:rsidR="00A5652B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D97589">
        <w:t>Kasım</w:t>
      </w:r>
      <w:r>
        <w:t>-</w:t>
      </w:r>
      <w:r w:rsidR="00D97589">
        <w:t>Aralık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D97589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Kas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D97589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Ara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97589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97589">
              <w:rPr>
                <w:rFonts w:ascii="Calibri" w:eastAsia="Times New Roman" w:hAnsi="Calibri" w:cs="Times New Roman"/>
                <w:color w:val="000000"/>
              </w:rPr>
              <w:t>5,1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165BA5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="00DC3CEB"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D975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B8120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975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6A3C59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DC3CEB" w:rsidRPr="00DC3CE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97589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104,4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D97589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105,5</w:t>
            </w:r>
          </w:p>
        </w:tc>
      </w:tr>
    </w:tbl>
    <w:p w:rsidR="00E12C81" w:rsidRDefault="00E12C81" w:rsidP="00472839">
      <w:pPr>
        <w:pStyle w:val="Balk2"/>
      </w:pPr>
      <w:r w:rsidRPr="002B5EAF"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415908" w:rsidRPr="002B5EAF">
        <w:rPr>
          <w:rFonts w:ascii="Times New Roman" w:hAnsi="Times New Roman" w:cs="Times New Roman"/>
        </w:rPr>
        <w:t xml:space="preserve"> </w:t>
      </w:r>
      <w:r w:rsidR="000B5000">
        <w:rPr>
          <w:rFonts w:ascii="Times New Roman" w:hAnsi="Times New Roman" w:cs="Times New Roman"/>
        </w:rPr>
        <w:t>Aralık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2014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0B5000">
        <w:rPr>
          <w:rFonts w:ascii="Times New Roman" w:hAnsi="Times New Roman" w:cs="Times New Roman"/>
        </w:rPr>
        <w:t>Aralık</w:t>
      </w:r>
      <w:r w:rsidR="004701F9">
        <w:rPr>
          <w:rFonts w:ascii="Times New Roman" w:hAnsi="Times New Roman" w:cs="Times New Roman"/>
        </w:rPr>
        <w:t xml:space="preserve"> ayına göre yüzde </w:t>
      </w:r>
      <w:r w:rsidR="000B5000">
        <w:rPr>
          <w:rFonts w:ascii="Times New Roman" w:hAnsi="Times New Roman" w:cs="Times New Roman"/>
        </w:rPr>
        <w:t>0,3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95774C">
        <w:rPr>
          <w:rFonts w:ascii="Times New Roman" w:hAnsi="Times New Roman" w:cs="Times New Roman"/>
        </w:rPr>
        <w:t xml:space="preserve">2,8 puan) ve </w:t>
      </w:r>
      <w:r w:rsidR="000B5000">
        <w:rPr>
          <w:rFonts w:ascii="Times New Roman" w:hAnsi="Times New Roman" w:cs="Times New Roman"/>
        </w:rPr>
        <w:t>99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95774C">
        <w:rPr>
          <w:rFonts w:ascii="Times New Roman" w:hAnsi="Times New Roman" w:cs="Times New Roman"/>
        </w:rPr>
        <w:t>çıkığı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332D6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0B5000">
        <w:rPr>
          <w:rFonts w:ascii="Times New Roman" w:hAnsi="Times New Roman" w:cs="Times New Roman"/>
        </w:rPr>
        <w:t>Kasım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0B5000">
        <w:rPr>
          <w:rFonts w:ascii="Times New Roman" w:hAnsi="Times New Roman" w:cs="Times New Roman"/>
        </w:rPr>
        <w:t>yüzde 1</w:t>
      </w:r>
      <w:r w:rsidR="00415908" w:rsidRPr="002B5EAF">
        <w:rPr>
          <w:rFonts w:ascii="Times New Roman" w:hAnsi="Times New Roman" w:cs="Times New Roman"/>
        </w:rPr>
        <w:t xml:space="preserve"> oranında </w:t>
      </w:r>
      <w:r w:rsidR="000B5000">
        <w:rPr>
          <w:rFonts w:ascii="Times New Roman" w:hAnsi="Times New Roman" w:cs="Times New Roman"/>
        </w:rPr>
        <w:t>azaldığı (1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2015</w:t>
      </w:r>
      <w:r w:rsidRPr="002B5EAF">
        <w:rPr>
          <w:rFonts w:ascii="Times New Roman" w:hAnsi="Times New Roman" w:cs="Times New Roman"/>
        </w:rPr>
        <w:t xml:space="preserve"> yılının </w:t>
      </w:r>
      <w:r w:rsidR="000B5000">
        <w:rPr>
          <w:rFonts w:ascii="Times New Roman" w:hAnsi="Times New Roman" w:cs="Times New Roman"/>
        </w:rPr>
        <w:t>Kasım</w:t>
      </w:r>
      <w:r w:rsidR="005132FC">
        <w:rPr>
          <w:rFonts w:ascii="Times New Roman" w:hAnsi="Times New Roman" w:cs="Times New Roman"/>
        </w:rPr>
        <w:t xml:space="preserve"> ayına göre yüzde </w:t>
      </w:r>
      <w:r w:rsidR="000B5000">
        <w:rPr>
          <w:rFonts w:ascii="Times New Roman" w:hAnsi="Times New Roman" w:cs="Times New Roman"/>
        </w:rPr>
        <w:t>4</w:t>
      </w:r>
      <w:r w:rsidR="0095774C">
        <w:rPr>
          <w:rFonts w:ascii="Times New Roman" w:hAnsi="Times New Roman" w:cs="Times New Roman"/>
        </w:rPr>
        <w:t>,9</w:t>
      </w:r>
      <w:r w:rsidRPr="002B5EAF">
        <w:rPr>
          <w:rFonts w:ascii="Times New Roman" w:hAnsi="Times New Roman" w:cs="Times New Roman"/>
        </w:rPr>
        <w:t xml:space="preserve"> oranında </w:t>
      </w:r>
      <w:r w:rsidR="00CC0799">
        <w:rPr>
          <w:rFonts w:ascii="Times New Roman" w:hAnsi="Times New Roman" w:cs="Times New Roman"/>
        </w:rPr>
        <w:t>azalarak</w:t>
      </w:r>
      <w:r w:rsidR="00DB0FFC">
        <w:rPr>
          <w:rFonts w:ascii="Times New Roman" w:hAnsi="Times New Roman" w:cs="Times New Roman"/>
        </w:rPr>
        <w:t xml:space="preserve"> (</w:t>
      </w:r>
      <w:r w:rsidR="000B5000">
        <w:rPr>
          <w:rFonts w:ascii="Times New Roman" w:hAnsi="Times New Roman" w:cs="Times New Roman"/>
        </w:rPr>
        <w:t>4,6</w:t>
      </w:r>
      <w:r w:rsidR="00BB0798">
        <w:rPr>
          <w:rFonts w:ascii="Times New Roman" w:hAnsi="Times New Roman" w:cs="Times New Roman"/>
        </w:rPr>
        <w:t xml:space="preserve"> 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0B5000">
        <w:rPr>
          <w:rFonts w:ascii="Times New Roman" w:hAnsi="Times New Roman" w:cs="Times New Roman"/>
        </w:rPr>
        <w:t xml:space="preserve"> 89,5</w:t>
      </w:r>
      <w:r w:rsidR="00415908">
        <w:rPr>
          <w:rFonts w:ascii="Times New Roman" w:hAnsi="Times New Roman" w:cs="Times New Roman"/>
        </w:rPr>
        <w:t xml:space="preserve"> olurken, </w:t>
      </w:r>
      <w:r w:rsidR="00EE3747">
        <w:rPr>
          <w:rFonts w:ascii="Times New Roman" w:hAnsi="Times New Roman" w:cs="Times New Roman"/>
        </w:rPr>
        <w:t>2014</w:t>
      </w:r>
      <w:r w:rsidRPr="002B5EAF">
        <w:rPr>
          <w:rFonts w:ascii="Times New Roman" w:hAnsi="Times New Roman" w:cs="Times New Roman"/>
        </w:rPr>
        <w:t xml:space="preserve"> yılı </w:t>
      </w:r>
      <w:r w:rsidR="000B5000">
        <w:rPr>
          <w:rFonts w:ascii="Times New Roman" w:hAnsi="Times New Roman" w:cs="Times New Roman"/>
        </w:rPr>
        <w:t>Aralık</w:t>
      </w:r>
      <w:r w:rsidRPr="002B5EAF">
        <w:rPr>
          <w:rFonts w:ascii="Times New Roman" w:hAnsi="Times New Roman" w:cs="Times New Roman"/>
        </w:rPr>
        <w:t xml:space="preserve"> ayı</w:t>
      </w:r>
      <w:r w:rsidR="008B7371">
        <w:rPr>
          <w:rFonts w:ascii="Times New Roman" w:hAnsi="Times New Roman" w:cs="Times New Roman"/>
        </w:rPr>
        <w:t>yla aynı seviyede kalmıştır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8B7371">
        <w:rPr>
          <w:rFonts w:ascii="Times New Roman" w:hAnsi="Times New Roman" w:cs="Times New Roman"/>
          <w:sz w:val="22"/>
          <w:szCs w:val="22"/>
        </w:rPr>
        <w:t>Aralık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8B7371">
        <w:rPr>
          <w:rFonts w:ascii="Times New Roman" w:hAnsi="Times New Roman" w:cs="Times New Roman"/>
          <w:sz w:val="22"/>
          <w:szCs w:val="22"/>
        </w:rPr>
        <w:t>Aralık</w:t>
      </w:r>
      <w:r w:rsidR="00CA571E">
        <w:rPr>
          <w:rFonts w:ascii="Times New Roman" w:hAnsi="Times New Roman" w:cs="Times New Roman"/>
          <w:sz w:val="22"/>
          <w:szCs w:val="22"/>
        </w:rPr>
        <w:t xml:space="preserve"> </w:t>
      </w:r>
      <w:r w:rsidR="00BB3B61">
        <w:rPr>
          <w:rFonts w:ascii="Times New Roman" w:hAnsi="Times New Roman" w:cs="Times New Roman"/>
          <w:sz w:val="22"/>
          <w:szCs w:val="22"/>
        </w:rPr>
        <w:t>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8B7371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45A18545" wp14:editId="0C567515">
            <wp:extent cx="5786323" cy="2743200"/>
            <wp:effectExtent l="0" t="0" r="2413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A5652B">
        <w:rPr>
          <w:rFonts w:ascii="Times New Roman" w:hAnsi="Times New Roman" w:cs="Times New Roman"/>
        </w:rPr>
        <w:t>Kasım</w:t>
      </w:r>
      <w:r w:rsidR="00B81743">
        <w:rPr>
          <w:rFonts w:ascii="Times New Roman" w:hAnsi="Times New Roman" w:cs="Times New Roman"/>
        </w:rPr>
        <w:t xml:space="preserve"> 2015</w:t>
      </w:r>
      <w:r w:rsidR="00A5652B">
        <w:rPr>
          <w:rFonts w:ascii="Times New Roman" w:hAnsi="Times New Roman" w:cs="Times New Roman"/>
        </w:rPr>
        <w:t>’te 93</w:t>
      </w:r>
      <w:r>
        <w:rPr>
          <w:rFonts w:ascii="Times New Roman" w:hAnsi="Times New Roman" w:cs="Times New Roman"/>
        </w:rPr>
        <w:t xml:space="preserve"> puan olan iş durumunun, </w:t>
      </w:r>
      <w:r w:rsidR="00A5652B">
        <w:rPr>
          <w:rFonts w:ascii="Times New Roman" w:hAnsi="Times New Roman" w:cs="Times New Roman"/>
        </w:rPr>
        <w:t>Aralık</w:t>
      </w:r>
      <w:r>
        <w:rPr>
          <w:rFonts w:ascii="Times New Roman" w:hAnsi="Times New Roman" w:cs="Times New Roman"/>
        </w:rPr>
        <w:t xml:space="preserve"> a</w:t>
      </w:r>
      <w:r w:rsidR="0095774C">
        <w:rPr>
          <w:rFonts w:ascii="Times New Roman" w:hAnsi="Times New Roman" w:cs="Times New Roman"/>
        </w:rPr>
        <w:t>yında yüzde 0,2</w:t>
      </w:r>
      <w:r w:rsidR="00EE168A">
        <w:rPr>
          <w:rFonts w:ascii="Times New Roman" w:hAnsi="Times New Roman" w:cs="Times New Roman"/>
        </w:rPr>
        <w:t xml:space="preserve"> oranında (</w:t>
      </w:r>
      <w:r w:rsidR="0095774C">
        <w:rPr>
          <w:rFonts w:ascii="Times New Roman" w:hAnsi="Times New Roman" w:cs="Times New Roman"/>
        </w:rPr>
        <w:t>0,2</w:t>
      </w:r>
      <w:r>
        <w:rPr>
          <w:rFonts w:ascii="Times New Roman" w:hAnsi="Times New Roman" w:cs="Times New Roman"/>
        </w:rPr>
        <w:t xml:space="preserve"> puan) </w:t>
      </w:r>
      <w:r w:rsidR="0095774C">
        <w:rPr>
          <w:rFonts w:ascii="Times New Roman" w:hAnsi="Times New Roman" w:cs="Times New Roman"/>
        </w:rPr>
        <w:t>artarak</w:t>
      </w:r>
      <w:r w:rsidR="003C6B2D">
        <w:rPr>
          <w:rFonts w:ascii="Times New Roman" w:hAnsi="Times New Roman" w:cs="Times New Roman"/>
        </w:rPr>
        <w:t xml:space="preserve"> 9</w:t>
      </w:r>
      <w:r w:rsidR="00A5652B">
        <w:rPr>
          <w:rFonts w:ascii="Times New Roman" w:hAnsi="Times New Roman" w:cs="Times New Roman"/>
        </w:rPr>
        <w:t>3</w:t>
      </w:r>
      <w:r w:rsidR="003C6B2D">
        <w:rPr>
          <w:rFonts w:ascii="Times New Roman" w:hAnsi="Times New Roman" w:cs="Times New Roman"/>
        </w:rPr>
        <w:t>,</w:t>
      </w:r>
      <w:r w:rsidR="00A565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A5652B">
        <w:rPr>
          <w:rFonts w:ascii="Times New Roman" w:hAnsi="Times New Roman" w:cs="Times New Roman"/>
        </w:rPr>
        <w:t>Aralık</w:t>
      </w:r>
      <w:r w:rsidR="003C0AB3">
        <w:rPr>
          <w:rFonts w:ascii="Times New Roman" w:hAnsi="Times New Roman" w:cs="Times New Roman"/>
        </w:rPr>
        <w:t xml:space="preserve"> 2015’te bir önceki aya göre</w:t>
      </w:r>
      <w:r w:rsidR="008164FC">
        <w:rPr>
          <w:rFonts w:ascii="Times New Roman" w:hAnsi="Times New Roman" w:cs="Times New Roman"/>
        </w:rPr>
        <w:t xml:space="preserve"> 0</w:t>
      </w:r>
      <w:r w:rsidR="00890360">
        <w:rPr>
          <w:rFonts w:ascii="Times New Roman" w:hAnsi="Times New Roman" w:cs="Times New Roman"/>
        </w:rPr>
        <w:t>,</w:t>
      </w:r>
      <w:r w:rsidR="00A565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puan </w:t>
      </w:r>
      <w:r w:rsidR="00A5652B">
        <w:rPr>
          <w:rFonts w:ascii="Times New Roman" w:hAnsi="Times New Roman" w:cs="Times New Roman"/>
        </w:rPr>
        <w:t>azalmış</w:t>
      </w:r>
      <w:r>
        <w:rPr>
          <w:rFonts w:ascii="Times New Roman" w:hAnsi="Times New Roman" w:cs="Times New Roman"/>
        </w:rPr>
        <w:t xml:space="preserve"> ve </w:t>
      </w:r>
      <w:r w:rsidR="003C6B2D">
        <w:rPr>
          <w:rFonts w:ascii="Times New Roman" w:hAnsi="Times New Roman" w:cs="Times New Roman"/>
        </w:rPr>
        <w:t>9</w:t>
      </w:r>
      <w:r w:rsidR="00A5652B">
        <w:rPr>
          <w:rFonts w:ascii="Times New Roman" w:hAnsi="Times New Roman" w:cs="Times New Roman"/>
        </w:rPr>
        <w:t xml:space="preserve">2, </w:t>
      </w:r>
      <w:r w:rsidR="0095774C">
        <w:rPr>
          <w:rFonts w:ascii="Times New Roman" w:hAnsi="Times New Roman" w:cs="Times New Roman"/>
        </w:rPr>
        <w:t>3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A5652B">
        <w:rPr>
          <w:rFonts w:ascii="Times New Roman" w:hAnsi="Times New Roman" w:cs="Times New Roman"/>
        </w:rPr>
        <w:t>Kasım</w:t>
      </w:r>
      <w:r w:rsidR="003C0AB3">
        <w:rPr>
          <w:rFonts w:ascii="Times New Roman" w:hAnsi="Times New Roman" w:cs="Times New Roman"/>
        </w:rPr>
        <w:t xml:space="preserve"> 2015</w:t>
      </w:r>
      <w:r w:rsidR="003C6B2D">
        <w:rPr>
          <w:rFonts w:ascii="Times New Roman" w:hAnsi="Times New Roman" w:cs="Times New Roman"/>
        </w:rPr>
        <w:t xml:space="preserve">’te </w:t>
      </w:r>
      <w:r w:rsidR="00A5652B">
        <w:rPr>
          <w:rFonts w:ascii="Times New Roman" w:hAnsi="Times New Roman" w:cs="Times New Roman"/>
        </w:rPr>
        <w:t>114,3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A5652B">
        <w:rPr>
          <w:rFonts w:ascii="Times New Roman" w:hAnsi="Times New Roman" w:cs="Times New Roman"/>
        </w:rPr>
        <w:t>Aralık 2015’te yüzde 2,4</w:t>
      </w:r>
      <w:r>
        <w:rPr>
          <w:rFonts w:ascii="Times New Roman" w:hAnsi="Times New Roman" w:cs="Times New Roman"/>
        </w:rPr>
        <w:t xml:space="preserve"> oranında </w:t>
      </w:r>
      <w:r w:rsidR="00A5652B">
        <w:rPr>
          <w:rFonts w:ascii="Times New Roman" w:hAnsi="Times New Roman" w:cs="Times New Roman"/>
        </w:rPr>
        <w:t>azalmış</w:t>
      </w:r>
      <w:r w:rsidR="0067222E">
        <w:rPr>
          <w:rFonts w:ascii="Times New Roman" w:hAnsi="Times New Roman" w:cs="Times New Roman"/>
        </w:rPr>
        <w:t xml:space="preserve"> ve</w:t>
      </w:r>
      <w:r w:rsidR="00A5652B">
        <w:rPr>
          <w:rFonts w:ascii="Times New Roman" w:hAnsi="Times New Roman" w:cs="Times New Roman"/>
        </w:rPr>
        <w:t xml:space="preserve"> 111</w:t>
      </w:r>
      <w:r w:rsidR="003C6B2D">
        <w:rPr>
          <w:rFonts w:ascii="Times New Roman" w:hAnsi="Times New Roman" w:cs="Times New Roman"/>
        </w:rPr>
        <w:t>,</w:t>
      </w:r>
      <w:r w:rsidR="00A5652B">
        <w:rPr>
          <w:rFonts w:ascii="Times New Roman" w:hAnsi="Times New Roman" w:cs="Times New Roman"/>
        </w:rPr>
        <w:t>5</w:t>
      </w:r>
      <w:r w:rsidR="003C0AB3">
        <w:rPr>
          <w:rFonts w:ascii="Times New Roman" w:hAnsi="Times New Roman" w:cs="Times New Roman"/>
        </w:rPr>
        <w:t xml:space="preserve"> 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A5652B">
        <w:fldChar w:fldCharType="begin"/>
      </w:r>
      <w:r w:rsidR="00A5652B">
        <w:instrText xml:space="preserve"> SEQ Tablo \* ARABIC </w:instrText>
      </w:r>
      <w:r w:rsidR="00A5652B">
        <w:fldChar w:fldCharType="separate"/>
      </w:r>
      <w:r>
        <w:rPr>
          <w:noProof/>
        </w:rPr>
        <w:t>2</w:t>
      </w:r>
      <w:r w:rsidR="00A5652B">
        <w:rPr>
          <w:noProof/>
        </w:rPr>
        <w:fldChar w:fldCharType="end"/>
      </w:r>
      <w:r>
        <w:t>: Hizmet sektörü güven endeksi alt bileşenleri (</w:t>
      </w:r>
      <w:r w:rsidR="00A5652B">
        <w:t>Kasım</w:t>
      </w:r>
      <w:r>
        <w:t>-</w:t>
      </w:r>
      <w:r w:rsidR="00A5652B">
        <w:t>Aralık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A5652B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Kas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0165C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A5652B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Ara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5652B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5652B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5652B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5652B" w:rsidP="0081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93,2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2D1321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92,8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A5652B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92,3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5652B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114,3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5652B" w:rsidP="00B7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111,5</w:t>
            </w:r>
            <w:bookmarkStart w:id="0" w:name="_GoBack"/>
            <w:bookmarkEnd w:id="0"/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378BB"/>
    <w:rsid w:val="00041E14"/>
    <w:rsid w:val="00086B75"/>
    <w:rsid w:val="000B5000"/>
    <w:rsid w:val="00100A7E"/>
    <w:rsid w:val="001026C6"/>
    <w:rsid w:val="00107F1F"/>
    <w:rsid w:val="0011679B"/>
    <w:rsid w:val="00161E0D"/>
    <w:rsid w:val="00165BA5"/>
    <w:rsid w:val="001A0EC5"/>
    <w:rsid w:val="001B3FD6"/>
    <w:rsid w:val="001B4B87"/>
    <w:rsid w:val="001C5D32"/>
    <w:rsid w:val="001F45C1"/>
    <w:rsid w:val="001F7641"/>
    <w:rsid w:val="00200568"/>
    <w:rsid w:val="002005BA"/>
    <w:rsid w:val="00226F56"/>
    <w:rsid w:val="00233F6E"/>
    <w:rsid w:val="00264FA3"/>
    <w:rsid w:val="002701B7"/>
    <w:rsid w:val="00282CEF"/>
    <w:rsid w:val="002B5EAF"/>
    <w:rsid w:val="002C176D"/>
    <w:rsid w:val="002D1321"/>
    <w:rsid w:val="002D467F"/>
    <w:rsid w:val="00304DB6"/>
    <w:rsid w:val="0037286A"/>
    <w:rsid w:val="00374EB7"/>
    <w:rsid w:val="00376705"/>
    <w:rsid w:val="003A4DE8"/>
    <w:rsid w:val="003A4E9E"/>
    <w:rsid w:val="003C0AB3"/>
    <w:rsid w:val="003C6B2D"/>
    <w:rsid w:val="003E7ABA"/>
    <w:rsid w:val="00414D32"/>
    <w:rsid w:val="00415908"/>
    <w:rsid w:val="004471C7"/>
    <w:rsid w:val="0045208A"/>
    <w:rsid w:val="004701F9"/>
    <w:rsid w:val="00472839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50581"/>
    <w:rsid w:val="005D1EB3"/>
    <w:rsid w:val="006178F0"/>
    <w:rsid w:val="00647A5C"/>
    <w:rsid w:val="00647CB8"/>
    <w:rsid w:val="00660880"/>
    <w:rsid w:val="0067222E"/>
    <w:rsid w:val="00674F4A"/>
    <w:rsid w:val="006934C1"/>
    <w:rsid w:val="006A3C59"/>
    <w:rsid w:val="006D6C3C"/>
    <w:rsid w:val="006F23D8"/>
    <w:rsid w:val="00703D10"/>
    <w:rsid w:val="0071356F"/>
    <w:rsid w:val="00722F2F"/>
    <w:rsid w:val="00734FA4"/>
    <w:rsid w:val="00735C81"/>
    <w:rsid w:val="00746DDE"/>
    <w:rsid w:val="007542F0"/>
    <w:rsid w:val="00756E1D"/>
    <w:rsid w:val="007A35B5"/>
    <w:rsid w:val="007A61BB"/>
    <w:rsid w:val="007B5C52"/>
    <w:rsid w:val="007C40D1"/>
    <w:rsid w:val="008071E5"/>
    <w:rsid w:val="008164FC"/>
    <w:rsid w:val="008212B1"/>
    <w:rsid w:val="00890360"/>
    <w:rsid w:val="008A3853"/>
    <w:rsid w:val="008B29F9"/>
    <w:rsid w:val="008B7371"/>
    <w:rsid w:val="008C3A4E"/>
    <w:rsid w:val="008F037C"/>
    <w:rsid w:val="008F6EF4"/>
    <w:rsid w:val="00931BB6"/>
    <w:rsid w:val="0095774C"/>
    <w:rsid w:val="00960957"/>
    <w:rsid w:val="00981E48"/>
    <w:rsid w:val="009B6A7A"/>
    <w:rsid w:val="009C52AE"/>
    <w:rsid w:val="009C7E77"/>
    <w:rsid w:val="00A00243"/>
    <w:rsid w:val="00A17C8D"/>
    <w:rsid w:val="00A2299A"/>
    <w:rsid w:val="00A270E3"/>
    <w:rsid w:val="00A332D6"/>
    <w:rsid w:val="00A5652B"/>
    <w:rsid w:val="00A928AB"/>
    <w:rsid w:val="00AB3B74"/>
    <w:rsid w:val="00AD0348"/>
    <w:rsid w:val="00AD6B7D"/>
    <w:rsid w:val="00AE146A"/>
    <w:rsid w:val="00B050DB"/>
    <w:rsid w:val="00B22A6C"/>
    <w:rsid w:val="00B36193"/>
    <w:rsid w:val="00B77501"/>
    <w:rsid w:val="00B81204"/>
    <w:rsid w:val="00B81743"/>
    <w:rsid w:val="00B81FEA"/>
    <w:rsid w:val="00BA0AF0"/>
    <w:rsid w:val="00BA3D68"/>
    <w:rsid w:val="00BB0798"/>
    <w:rsid w:val="00BB3B61"/>
    <w:rsid w:val="00BC452F"/>
    <w:rsid w:val="00BE14F5"/>
    <w:rsid w:val="00C0378F"/>
    <w:rsid w:val="00C03934"/>
    <w:rsid w:val="00C04185"/>
    <w:rsid w:val="00C51B65"/>
    <w:rsid w:val="00CA571E"/>
    <w:rsid w:val="00CA5ACC"/>
    <w:rsid w:val="00CC05F5"/>
    <w:rsid w:val="00CC0799"/>
    <w:rsid w:val="00CD2398"/>
    <w:rsid w:val="00CE566F"/>
    <w:rsid w:val="00D00F4A"/>
    <w:rsid w:val="00D11DC0"/>
    <w:rsid w:val="00D30BE9"/>
    <w:rsid w:val="00D41704"/>
    <w:rsid w:val="00D91A76"/>
    <w:rsid w:val="00D97589"/>
    <w:rsid w:val="00DB0FFC"/>
    <w:rsid w:val="00DC3CEB"/>
    <w:rsid w:val="00DE3127"/>
    <w:rsid w:val="00DF240C"/>
    <w:rsid w:val="00DF6EC7"/>
    <w:rsid w:val="00E050E5"/>
    <w:rsid w:val="00E12C81"/>
    <w:rsid w:val="00E14F76"/>
    <w:rsid w:val="00E22179"/>
    <w:rsid w:val="00E326F7"/>
    <w:rsid w:val="00E72ED9"/>
    <w:rsid w:val="00EA5332"/>
    <w:rsid w:val="00EB0C4D"/>
    <w:rsid w:val="00EB68C0"/>
    <w:rsid w:val="00EE168A"/>
    <w:rsid w:val="00EE3747"/>
    <w:rsid w:val="00F2387A"/>
    <w:rsid w:val="00F41309"/>
    <w:rsid w:val="00F5267F"/>
    <w:rsid w:val="00F66CF6"/>
    <w:rsid w:val="00F73F8D"/>
    <w:rsid w:val="00F91EC1"/>
    <w:rsid w:val="00FB149D"/>
    <w:rsid w:val="00FB558C"/>
    <w:rsid w:val="00FC6C44"/>
    <w:rsid w:val="00FD12B2"/>
    <w:rsid w:val="00FD583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2560324807376803453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1039831320339056660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526004078800161E-2"/>
          <c:y val="5.1400554097404488E-2"/>
          <c:w val="0.69367196152504063"/>
          <c:h val="0.81722586759988336"/>
        </c:manualLayout>
      </c:layout>
      <c:lineChart>
        <c:grouping val="standard"/>
        <c:varyColors val="0"/>
        <c:ser>
          <c:idx val="0"/>
          <c:order val="0"/>
          <c:tx>
            <c:strRef>
              <c:f>'[2560324807376803453..xls]Sayfa1'!$F$6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'[2560324807376803453..xls]Sayfa1'!$G$5:$S$5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'[2560324807376803453..xls]Sayfa1'!$G$6:$S$6</c:f>
              <c:numCache>
                <c:formatCode>0.0</c:formatCode>
                <c:ptCount val="13"/>
                <c:pt idx="0">
                  <c:v>82.665205693431403</c:v>
                </c:pt>
                <c:pt idx="1">
                  <c:v>82.262243306245651</c:v>
                </c:pt>
                <c:pt idx="2">
                  <c:v>84.548851446421551</c:v>
                </c:pt>
                <c:pt idx="3">
                  <c:v>83.370886502895758</c:v>
                </c:pt>
                <c:pt idx="4">
                  <c:v>81.444724040442253</c:v>
                </c:pt>
                <c:pt idx="5">
                  <c:v>83.8535168760273</c:v>
                </c:pt>
                <c:pt idx="6">
                  <c:v>85.159307168830253</c:v>
                </c:pt>
                <c:pt idx="7">
                  <c:v>82.975995594060052</c:v>
                </c:pt>
                <c:pt idx="8">
                  <c:v>82.265920647444005</c:v>
                </c:pt>
                <c:pt idx="9">
                  <c:v>80.863262806966404</c:v>
                </c:pt>
                <c:pt idx="10">
                  <c:v>80.493095780894549</c:v>
                </c:pt>
                <c:pt idx="11">
                  <c:v>84.532994205048709</c:v>
                </c:pt>
                <c:pt idx="12">
                  <c:v>85.107187575257143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'[2560324807376803453..xls]Sayfa1'!$F$7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'[2560324807376803453..xls]Sayfa1'!$G$5:$S$5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'[2560324807376803453..xls]Sayfa1'!$G$7:$S$7</c:f>
              <c:numCache>
                <c:formatCode>0.0</c:formatCode>
                <c:ptCount val="13"/>
                <c:pt idx="0">
                  <c:v>73.489662247233198</c:v>
                </c:pt>
                <c:pt idx="1">
                  <c:v>81.092537142537495</c:v>
                </c:pt>
                <c:pt idx="2">
                  <c:v>87.528411968771593</c:v>
                </c:pt>
                <c:pt idx="3">
                  <c:v>89.874190311685496</c:v>
                </c:pt>
                <c:pt idx="4">
                  <c:v>88.786938905225668</c:v>
                </c:pt>
                <c:pt idx="5">
                  <c:v>89.941936195351602</c:v>
                </c:pt>
                <c:pt idx="6">
                  <c:v>88.700339250451407</c:v>
                </c:pt>
                <c:pt idx="7">
                  <c:v>84.087699148517103</c:v>
                </c:pt>
                <c:pt idx="8">
                  <c:v>82.092273965283596</c:v>
                </c:pt>
                <c:pt idx="9">
                  <c:v>77.232139742769505</c:v>
                </c:pt>
                <c:pt idx="10">
                  <c:v>73.1607787908913</c:v>
                </c:pt>
                <c:pt idx="11">
                  <c:v>78.1943405401517</c:v>
                </c:pt>
                <c:pt idx="12">
                  <c:v>76.129548484100297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557824"/>
        <c:axId val="150559360"/>
      </c:lineChart>
      <c:dateAx>
        <c:axId val="1505578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50559360"/>
        <c:crosses val="autoZero"/>
        <c:auto val="1"/>
        <c:lblOffset val="100"/>
        <c:baseTimeUnit val="months"/>
      </c:dateAx>
      <c:valAx>
        <c:axId val="1505593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5055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29377782497799"/>
          <c:y val="0.18093102945465145"/>
          <c:w val="0.20887053913890086"/>
          <c:h val="0.42517497812773403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12628779969598E-2"/>
          <c:y val="5.1400554097404488E-2"/>
          <c:w val="0.69162461200251635"/>
          <c:h val="0.83574438611840185"/>
        </c:manualLayout>
      </c:layout>
      <c:lineChart>
        <c:grouping val="standard"/>
        <c:varyColors val="0"/>
        <c:ser>
          <c:idx val="0"/>
          <c:order val="0"/>
          <c:tx>
            <c:strRef>
              <c:f>'[1039831320339056660..xls]Sayfa1'!$E$8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'[1039831320339056660..xls]Sayfa1'!$F$7:$R$7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'[1039831320339056660..xls]Sayfa1'!$F$8:$R$8</c:f>
              <c:numCache>
                <c:formatCode>0.0</c:formatCode>
                <c:ptCount val="13"/>
                <c:pt idx="0">
                  <c:v>98.766294593333328</c:v>
                </c:pt>
                <c:pt idx="1">
                  <c:v>100.67834009000001</c:v>
                </c:pt>
                <c:pt idx="2">
                  <c:v>101.49119742333333</c:v>
                </c:pt>
                <c:pt idx="3">
                  <c:v>100.84899754000001</c:v>
                </c:pt>
                <c:pt idx="4">
                  <c:v>100.27056086333334</c:v>
                </c:pt>
                <c:pt idx="5">
                  <c:v>100.43575356999999</c:v>
                </c:pt>
                <c:pt idx="6">
                  <c:v>99.291875069999989</c:v>
                </c:pt>
                <c:pt idx="7">
                  <c:v>100.38480952333335</c:v>
                </c:pt>
                <c:pt idx="8">
                  <c:v>100.20982132666666</c:v>
                </c:pt>
                <c:pt idx="9">
                  <c:v>98.084878930000002</c:v>
                </c:pt>
                <c:pt idx="10">
                  <c:v>98.230340469999987</c:v>
                </c:pt>
                <c:pt idx="11">
                  <c:v>100.04879295666666</c:v>
                </c:pt>
                <c:pt idx="12">
                  <c:v>99.020963456666664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'[1039831320339056660..xls]Sayfa1'!$E$9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'[1039831320339056660..xls]Sayfa1'!$F$7:$R$7</c:f>
              <c:numCache>
                <c:formatCode>mmm\-yy</c:formatCode>
                <c:ptCount val="13"/>
                <c:pt idx="0">
                  <c:v>41974</c:v>
                </c:pt>
                <c:pt idx="1">
                  <c:v>42005</c:v>
                </c:pt>
                <c:pt idx="2">
                  <c:v>42036</c:v>
                </c:pt>
                <c:pt idx="3">
                  <c:v>42064</c:v>
                </c:pt>
                <c:pt idx="4">
                  <c:v>42095</c:v>
                </c:pt>
                <c:pt idx="5">
                  <c:v>42125</c:v>
                </c:pt>
                <c:pt idx="6">
                  <c:v>42156</c:v>
                </c:pt>
                <c:pt idx="7">
                  <c:v>42186</c:v>
                </c:pt>
                <c:pt idx="8">
                  <c:v>42217</c:v>
                </c:pt>
                <c:pt idx="9">
                  <c:v>42248</c:v>
                </c:pt>
                <c:pt idx="10">
                  <c:v>42278</c:v>
                </c:pt>
                <c:pt idx="11">
                  <c:v>42309</c:v>
                </c:pt>
                <c:pt idx="12">
                  <c:v>42339</c:v>
                </c:pt>
              </c:numCache>
            </c:numRef>
          </c:cat>
          <c:val>
            <c:numRef>
              <c:f>'[1039831320339056660..xls]Sayfa1'!$F$9:$R$9</c:f>
              <c:numCache>
                <c:formatCode>0.0</c:formatCode>
                <c:ptCount val="13"/>
                <c:pt idx="0">
                  <c:v>89.521856079014</c:v>
                </c:pt>
                <c:pt idx="1">
                  <c:v>94.840876380301907</c:v>
                </c:pt>
                <c:pt idx="2">
                  <c:v>99.785975992814699</c:v>
                </c:pt>
                <c:pt idx="3">
                  <c:v>100.581431364108</c:v>
                </c:pt>
                <c:pt idx="4">
                  <c:v>105.5917942144827</c:v>
                </c:pt>
                <c:pt idx="5">
                  <c:v>107.699414980374</c:v>
                </c:pt>
                <c:pt idx="6">
                  <c:v>104.98806283929</c:v>
                </c:pt>
                <c:pt idx="7">
                  <c:v>102.976772174286</c:v>
                </c:pt>
                <c:pt idx="8">
                  <c:v>104.39982479602401</c:v>
                </c:pt>
                <c:pt idx="9">
                  <c:v>98.119917460016495</c:v>
                </c:pt>
                <c:pt idx="10">
                  <c:v>95.982999348082103</c:v>
                </c:pt>
                <c:pt idx="11">
                  <c:v>94.122543934454598</c:v>
                </c:pt>
                <c:pt idx="12">
                  <c:v>89.542164224307498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089728"/>
        <c:axId val="172589824"/>
      </c:lineChart>
      <c:dateAx>
        <c:axId val="172089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72589824"/>
        <c:crosses val="autoZero"/>
        <c:auto val="1"/>
        <c:lblOffset val="100"/>
        <c:baseTimeUnit val="months"/>
      </c:dateAx>
      <c:valAx>
        <c:axId val="1725898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7208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63249984445536"/>
          <c:y val="0.18093102945465145"/>
          <c:w val="0.21720253086459224"/>
          <c:h val="0.42517497812773403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783E-5013-407B-AA43-BCBFE999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Aysegul</cp:lastModifiedBy>
  <cp:revision>6</cp:revision>
  <dcterms:created xsi:type="dcterms:W3CDTF">2015-12-25T08:54:00Z</dcterms:created>
  <dcterms:modified xsi:type="dcterms:W3CDTF">2015-12-25T09:16:00Z</dcterms:modified>
</cp:coreProperties>
</file>